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330" w:rsidRPr="00A0218C" w:rsidRDefault="00D13330" w:rsidP="00D13330">
      <w:pPr>
        <w:spacing w:line="440" w:lineRule="exact"/>
        <w:jc w:val="center"/>
        <w:rPr>
          <w:rFonts w:ascii="宋体" w:hAnsi="宋体"/>
          <w:b/>
          <w:sz w:val="32"/>
          <w:szCs w:val="32"/>
        </w:rPr>
      </w:pPr>
      <w:r w:rsidRPr="00A0218C">
        <w:rPr>
          <w:rFonts w:ascii="宋体" w:hAnsi="宋体" w:hint="eastAsia"/>
          <w:b/>
          <w:sz w:val="32"/>
          <w:szCs w:val="32"/>
        </w:rPr>
        <w:t>2018年（电大分校）</w:t>
      </w:r>
      <w:proofErr w:type="gramStart"/>
      <w:r w:rsidRPr="00A0218C">
        <w:rPr>
          <w:rFonts w:ascii="宋体" w:hAnsi="宋体" w:hint="eastAsia"/>
          <w:b/>
          <w:sz w:val="32"/>
          <w:szCs w:val="32"/>
        </w:rPr>
        <w:t>奥鹏教育</w:t>
      </w:r>
      <w:proofErr w:type="gramEnd"/>
      <w:r w:rsidRPr="00A0218C">
        <w:rPr>
          <w:rFonts w:ascii="宋体" w:hAnsi="宋体" w:hint="eastAsia"/>
          <w:b/>
          <w:sz w:val="32"/>
          <w:szCs w:val="32"/>
        </w:rPr>
        <w:t>招生简章（初稿）</w:t>
      </w:r>
    </w:p>
    <w:p w:rsidR="00D13330" w:rsidRDefault="00D13330" w:rsidP="00D13330">
      <w:pPr>
        <w:spacing w:line="360" w:lineRule="exact"/>
        <w:ind w:firstLine="570"/>
        <w:rPr>
          <w:rFonts w:ascii="宋体" w:hAnsi="宋体"/>
          <w:sz w:val="24"/>
        </w:rPr>
      </w:pPr>
      <w:bookmarkStart w:id="0" w:name="_GoBack"/>
      <w:bookmarkEnd w:id="0"/>
    </w:p>
    <w:p w:rsidR="00D13330" w:rsidRPr="000E40A4" w:rsidRDefault="00D63FFF" w:rsidP="00CE7B75">
      <w:pPr>
        <w:spacing w:afterLines="50" w:after="156"/>
        <w:ind w:firstLineChars="200" w:firstLine="420"/>
        <w:rPr>
          <w:rFonts w:ascii="宋体" w:hAnsi="宋体"/>
          <w:szCs w:val="21"/>
        </w:rPr>
      </w:pPr>
      <w:proofErr w:type="gramStart"/>
      <w:r w:rsidRPr="000E40A4">
        <w:rPr>
          <w:rFonts w:ascii="宋体" w:hAnsi="宋体" w:hint="eastAsia"/>
          <w:szCs w:val="21"/>
        </w:rPr>
        <w:t>奥鹏远程</w:t>
      </w:r>
      <w:proofErr w:type="gramEnd"/>
      <w:r w:rsidRPr="000E40A4">
        <w:rPr>
          <w:rFonts w:ascii="宋体" w:hAnsi="宋体" w:hint="eastAsia"/>
          <w:szCs w:val="21"/>
        </w:rPr>
        <w:t>教育中心（</w:t>
      </w:r>
      <w:proofErr w:type="gramStart"/>
      <w:r w:rsidRPr="000E40A4">
        <w:rPr>
          <w:rFonts w:ascii="宋体" w:hAnsi="宋体" w:hint="eastAsia"/>
          <w:szCs w:val="21"/>
        </w:rPr>
        <w:t>简称奥鹏教育</w:t>
      </w:r>
      <w:proofErr w:type="gramEnd"/>
      <w:r w:rsidRPr="000E40A4">
        <w:rPr>
          <w:rFonts w:ascii="宋体" w:hAnsi="宋体" w:hint="eastAsia"/>
          <w:szCs w:val="21"/>
        </w:rPr>
        <w:t>），是由教育部高等教育司2001年12月批准立项试点，2005年4月正式批准运营的远程教育公共服务体系，也是教育部门批准成立的远程教育内容服务运营机构。目前，</w:t>
      </w:r>
      <w:proofErr w:type="gramStart"/>
      <w:r w:rsidRPr="000E40A4">
        <w:rPr>
          <w:rFonts w:ascii="宋体" w:hAnsi="宋体" w:hint="eastAsia"/>
          <w:szCs w:val="21"/>
        </w:rPr>
        <w:t>奥鹏教育</w:t>
      </w:r>
      <w:proofErr w:type="gramEnd"/>
      <w:r w:rsidRPr="000E40A4">
        <w:rPr>
          <w:rFonts w:ascii="宋体" w:hAnsi="宋体" w:hint="eastAsia"/>
          <w:szCs w:val="21"/>
        </w:rPr>
        <w:t>已与近50所重点大学合作，学历教育招生专业360多个，在全国建立了1700多家</w:t>
      </w:r>
      <w:proofErr w:type="gramStart"/>
      <w:r w:rsidRPr="000E40A4">
        <w:rPr>
          <w:rFonts w:ascii="宋体" w:hAnsi="宋体" w:hint="eastAsia"/>
          <w:szCs w:val="21"/>
        </w:rPr>
        <w:t>奥鹏远程</w:t>
      </w:r>
      <w:proofErr w:type="gramEnd"/>
      <w:r w:rsidRPr="000E40A4">
        <w:rPr>
          <w:rFonts w:ascii="宋体" w:hAnsi="宋体" w:hint="eastAsia"/>
          <w:szCs w:val="21"/>
        </w:rPr>
        <w:t>教育学习中心，400家培训中心，为遍布全国的200多万学生提供学历/非学历教育咨询、报名、学习辅导、课程考试、交费等7X24小时学习支持服务，以及为中小学校长、教师提供培训服务。</w:t>
      </w:r>
      <w:r w:rsidR="00D13330" w:rsidRPr="000E40A4">
        <w:rPr>
          <w:rFonts w:ascii="宋体" w:hAnsi="宋体" w:hint="eastAsia"/>
          <w:szCs w:val="21"/>
        </w:rPr>
        <w:t>通辽职业学院电大分校</w:t>
      </w:r>
      <w:proofErr w:type="gramStart"/>
      <w:r w:rsidR="00D13330" w:rsidRPr="000E40A4">
        <w:rPr>
          <w:rFonts w:ascii="宋体" w:hAnsi="宋体" w:hint="eastAsia"/>
          <w:szCs w:val="21"/>
        </w:rPr>
        <w:t>奥鹏远程</w:t>
      </w:r>
      <w:proofErr w:type="gramEnd"/>
      <w:r w:rsidR="00D13330" w:rsidRPr="000E40A4">
        <w:rPr>
          <w:rFonts w:ascii="宋体" w:hAnsi="宋体" w:hint="eastAsia"/>
          <w:szCs w:val="21"/>
        </w:rPr>
        <w:t>教育学习中心，是通辽地区唯一的学习中心。</w:t>
      </w:r>
    </w:p>
    <w:p w:rsidR="00D13330" w:rsidRPr="000E40A4" w:rsidRDefault="00D13330" w:rsidP="00CE7B75">
      <w:pPr>
        <w:spacing w:afterLines="50" w:after="156"/>
        <w:ind w:firstLineChars="200" w:firstLine="420"/>
        <w:rPr>
          <w:rFonts w:ascii="宋体" w:hAnsi="宋体"/>
          <w:szCs w:val="21"/>
        </w:rPr>
      </w:pPr>
      <w:r w:rsidRPr="000E40A4">
        <w:rPr>
          <w:rFonts w:ascii="宋体" w:hAnsi="宋体" w:hint="eastAsia"/>
          <w:szCs w:val="21"/>
        </w:rPr>
        <w:t>一、招生对象</w:t>
      </w:r>
    </w:p>
    <w:p w:rsidR="00D13330" w:rsidRPr="000E40A4" w:rsidRDefault="00D13330" w:rsidP="00CE7B75">
      <w:pPr>
        <w:spacing w:afterLines="50" w:after="156"/>
        <w:ind w:firstLineChars="200" w:firstLine="420"/>
        <w:rPr>
          <w:rFonts w:ascii="宋体" w:hAnsi="宋体"/>
          <w:szCs w:val="21"/>
        </w:rPr>
      </w:pPr>
      <w:r w:rsidRPr="000E40A4">
        <w:rPr>
          <w:rFonts w:ascii="宋体" w:hAnsi="宋体" w:hint="eastAsia"/>
          <w:szCs w:val="21"/>
        </w:rPr>
        <w:t>专科起点本科须具备国民教育系列的专科以上学历的毕业证书。高中起点本、专科须具备高中、中专、技校及以上学历的毕业证书。报读学生不允许具有高等学历教育双重学籍。</w:t>
      </w:r>
    </w:p>
    <w:p w:rsidR="00D13330" w:rsidRPr="000E40A4" w:rsidRDefault="00D13330" w:rsidP="00CE7B75">
      <w:pPr>
        <w:spacing w:afterLines="50" w:after="156"/>
        <w:ind w:firstLineChars="200" w:firstLine="420"/>
        <w:rPr>
          <w:rFonts w:ascii="宋体" w:hAnsi="宋体"/>
          <w:szCs w:val="21"/>
        </w:rPr>
      </w:pPr>
      <w:r w:rsidRPr="000E40A4">
        <w:rPr>
          <w:rFonts w:ascii="宋体" w:hAnsi="宋体" w:hint="eastAsia"/>
          <w:szCs w:val="21"/>
        </w:rPr>
        <w:t>二、报名办法</w:t>
      </w:r>
    </w:p>
    <w:p w:rsidR="00D13330" w:rsidRPr="000E40A4" w:rsidRDefault="00D13330" w:rsidP="00CE7B75">
      <w:pPr>
        <w:spacing w:afterLines="50" w:after="156"/>
        <w:ind w:firstLineChars="200" w:firstLine="420"/>
        <w:rPr>
          <w:rFonts w:ascii="宋体" w:hAnsi="宋体"/>
          <w:szCs w:val="21"/>
        </w:rPr>
      </w:pPr>
      <w:r w:rsidRPr="000E40A4">
        <w:rPr>
          <w:rFonts w:ascii="宋体" w:hAnsi="宋体" w:hint="eastAsia"/>
          <w:szCs w:val="21"/>
        </w:rPr>
        <w:t>全年组织报名，春秋两季学籍注册。春季注册为3月份，秋季注册为9月份。</w:t>
      </w:r>
    </w:p>
    <w:p w:rsidR="00D13330" w:rsidRPr="000E40A4" w:rsidRDefault="00D13330" w:rsidP="00CE7B75">
      <w:pPr>
        <w:spacing w:afterLines="50" w:after="156"/>
        <w:ind w:firstLineChars="200" w:firstLine="420"/>
        <w:rPr>
          <w:rFonts w:ascii="宋体" w:hAnsi="宋体"/>
          <w:szCs w:val="21"/>
        </w:rPr>
      </w:pPr>
      <w:r w:rsidRPr="000E40A4">
        <w:rPr>
          <w:rFonts w:ascii="宋体" w:hAnsi="宋体" w:hint="eastAsia"/>
          <w:szCs w:val="21"/>
        </w:rPr>
        <w:t>报名者（</w:t>
      </w:r>
      <w:proofErr w:type="gramStart"/>
      <w:r w:rsidRPr="000E40A4">
        <w:rPr>
          <w:rFonts w:ascii="宋体" w:hAnsi="宋体" w:hint="eastAsia"/>
          <w:szCs w:val="21"/>
        </w:rPr>
        <w:t>含申请</w:t>
      </w:r>
      <w:proofErr w:type="gramEnd"/>
      <w:r w:rsidRPr="000E40A4">
        <w:rPr>
          <w:rFonts w:ascii="宋体" w:hAnsi="宋体" w:hint="eastAsia"/>
          <w:szCs w:val="21"/>
        </w:rPr>
        <w:t>免试入学）持本人二代身份证、毕业证书原件及复印件2份（A4纸），2寸照片（免冠、正面、彩色、蓝底、同版）3张，到当地学习中心完成其身份证、毕业证书原件扫描和电子照片采集工作。所有报名入学者必须提供真实、有效的证件办理注册手续并接受审核。</w:t>
      </w:r>
    </w:p>
    <w:p w:rsidR="00D13330" w:rsidRPr="000E40A4" w:rsidRDefault="00D13330" w:rsidP="00CE7B75">
      <w:pPr>
        <w:spacing w:afterLines="50" w:after="156"/>
        <w:ind w:firstLineChars="200" w:firstLine="420"/>
        <w:rPr>
          <w:rFonts w:ascii="宋体" w:hAnsi="宋体"/>
          <w:szCs w:val="21"/>
        </w:rPr>
      </w:pPr>
      <w:r w:rsidRPr="000E40A4">
        <w:rPr>
          <w:rFonts w:ascii="宋体" w:hAnsi="宋体" w:hint="eastAsia"/>
          <w:szCs w:val="21"/>
        </w:rPr>
        <w:t>三、毕业说明</w:t>
      </w:r>
    </w:p>
    <w:p w:rsidR="00D13330" w:rsidRPr="000E40A4" w:rsidRDefault="00D13330" w:rsidP="00CE7B75">
      <w:pPr>
        <w:spacing w:afterLines="50" w:after="156"/>
        <w:ind w:firstLineChars="200" w:firstLine="420"/>
        <w:rPr>
          <w:rFonts w:ascii="宋体" w:hAnsi="宋体"/>
          <w:szCs w:val="21"/>
        </w:rPr>
      </w:pPr>
      <w:r w:rsidRPr="000E40A4">
        <w:rPr>
          <w:rFonts w:ascii="宋体" w:hAnsi="宋体" w:hint="eastAsia"/>
          <w:szCs w:val="21"/>
        </w:rPr>
        <w:t>学生在规定学习期限内修完本专业教学计划规定的全部课程和实践教学等环节，成绩合格；本科学生通过教育部组织的公共基础课统一考试且成绩合格，毕业鉴定合格。颁发报考院校毕业证书（注册网络教育），并报教育部进行学历电子注册，国家承认学历。符合条件者经申请可授予学士学位并颁发相应证书。</w:t>
      </w:r>
    </w:p>
    <w:p w:rsidR="00D13330" w:rsidRPr="000E40A4" w:rsidRDefault="00D13330" w:rsidP="00CE7B75">
      <w:pPr>
        <w:spacing w:afterLines="50" w:after="156"/>
        <w:ind w:firstLineChars="200" w:firstLine="420"/>
        <w:rPr>
          <w:rFonts w:ascii="宋体" w:hAnsi="宋体" w:hint="eastAsia"/>
          <w:szCs w:val="21"/>
        </w:rPr>
      </w:pPr>
      <w:r w:rsidRPr="000E40A4">
        <w:rPr>
          <w:rFonts w:ascii="宋体" w:hAnsi="宋体" w:hint="eastAsia"/>
          <w:szCs w:val="21"/>
        </w:rPr>
        <w:t>四、授权院校及招生专业</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4500"/>
        <w:gridCol w:w="1080"/>
        <w:gridCol w:w="720"/>
        <w:gridCol w:w="1080"/>
      </w:tblGrid>
      <w:tr w:rsidR="000C4987" w:rsidRPr="009338B8" w:rsidTr="00526DE1">
        <w:trPr>
          <w:trHeight w:val="300"/>
        </w:trPr>
        <w:tc>
          <w:tcPr>
            <w:tcW w:w="1080" w:type="dxa"/>
          </w:tcPr>
          <w:p w:rsidR="000C4987" w:rsidRPr="009338B8" w:rsidRDefault="000C4987" w:rsidP="00CE7B75">
            <w:pPr>
              <w:spacing w:line="320" w:lineRule="exact"/>
              <w:jc w:val="left"/>
              <w:rPr>
                <w:rFonts w:ascii="宋体" w:hAnsi="宋体"/>
                <w:sz w:val="18"/>
                <w:szCs w:val="18"/>
              </w:rPr>
            </w:pPr>
            <w:r>
              <w:rPr>
                <w:rFonts w:ascii="宋体" w:hAnsi="宋体" w:hint="eastAsia"/>
                <w:sz w:val="18"/>
                <w:szCs w:val="18"/>
              </w:rPr>
              <w:t>院校</w:t>
            </w:r>
          </w:p>
        </w:tc>
        <w:tc>
          <w:tcPr>
            <w:tcW w:w="4500" w:type="dxa"/>
          </w:tcPr>
          <w:p w:rsidR="000C4987" w:rsidRPr="009338B8" w:rsidRDefault="000C4987" w:rsidP="00CE7B75">
            <w:pPr>
              <w:spacing w:line="320" w:lineRule="exact"/>
              <w:jc w:val="center"/>
              <w:rPr>
                <w:rFonts w:ascii="宋体" w:hAnsi="宋体"/>
                <w:sz w:val="18"/>
                <w:szCs w:val="18"/>
              </w:rPr>
            </w:pPr>
            <w:r>
              <w:rPr>
                <w:rFonts w:ascii="宋体" w:hAnsi="宋体" w:hint="eastAsia"/>
                <w:sz w:val="18"/>
                <w:szCs w:val="18"/>
              </w:rPr>
              <w:t>招生专业</w:t>
            </w:r>
          </w:p>
        </w:tc>
        <w:tc>
          <w:tcPr>
            <w:tcW w:w="1080" w:type="dxa"/>
          </w:tcPr>
          <w:p w:rsidR="000C4987" w:rsidRPr="009338B8" w:rsidRDefault="000C4987" w:rsidP="00CE7B75">
            <w:pPr>
              <w:spacing w:line="320" w:lineRule="exact"/>
              <w:jc w:val="center"/>
              <w:rPr>
                <w:rFonts w:ascii="宋体" w:hAnsi="宋体"/>
                <w:sz w:val="18"/>
                <w:szCs w:val="18"/>
              </w:rPr>
            </w:pPr>
            <w:r>
              <w:rPr>
                <w:rFonts w:ascii="宋体" w:hAnsi="宋体" w:hint="eastAsia"/>
                <w:sz w:val="18"/>
                <w:szCs w:val="18"/>
              </w:rPr>
              <w:t>招生层次</w:t>
            </w:r>
          </w:p>
        </w:tc>
        <w:tc>
          <w:tcPr>
            <w:tcW w:w="720" w:type="dxa"/>
          </w:tcPr>
          <w:p w:rsidR="000C4987" w:rsidRPr="009338B8" w:rsidRDefault="000C4987" w:rsidP="00CE7B75">
            <w:pPr>
              <w:spacing w:line="320" w:lineRule="exact"/>
              <w:jc w:val="center"/>
              <w:rPr>
                <w:rFonts w:ascii="宋体" w:hAnsi="宋体"/>
                <w:sz w:val="18"/>
                <w:szCs w:val="18"/>
              </w:rPr>
            </w:pPr>
            <w:r>
              <w:rPr>
                <w:rFonts w:ascii="宋体" w:hAnsi="宋体" w:hint="eastAsia"/>
                <w:sz w:val="18"/>
                <w:szCs w:val="18"/>
              </w:rPr>
              <w:t>学制</w:t>
            </w:r>
          </w:p>
        </w:tc>
        <w:tc>
          <w:tcPr>
            <w:tcW w:w="1080" w:type="dxa"/>
          </w:tcPr>
          <w:p w:rsidR="000C4987" w:rsidRPr="009338B8" w:rsidRDefault="000C4987" w:rsidP="00CE7B75">
            <w:pPr>
              <w:spacing w:line="320" w:lineRule="exact"/>
              <w:jc w:val="center"/>
              <w:rPr>
                <w:rFonts w:ascii="宋体" w:hAnsi="宋体"/>
                <w:sz w:val="18"/>
                <w:szCs w:val="18"/>
              </w:rPr>
            </w:pPr>
            <w:r>
              <w:rPr>
                <w:rFonts w:ascii="宋体" w:hAnsi="宋体" w:hint="eastAsia"/>
                <w:sz w:val="18"/>
                <w:szCs w:val="18"/>
              </w:rPr>
              <w:t>学习</w:t>
            </w:r>
            <w:r w:rsidR="00CE7B75">
              <w:rPr>
                <w:rFonts w:ascii="宋体" w:hAnsi="宋体" w:hint="eastAsia"/>
                <w:sz w:val="18"/>
                <w:szCs w:val="18"/>
              </w:rPr>
              <w:t>期</w:t>
            </w:r>
            <w:r>
              <w:rPr>
                <w:rFonts w:ascii="宋体" w:hAnsi="宋体" w:hint="eastAsia"/>
                <w:sz w:val="18"/>
                <w:szCs w:val="18"/>
              </w:rPr>
              <w:t>限</w:t>
            </w:r>
          </w:p>
        </w:tc>
      </w:tr>
      <w:tr w:rsidR="000C4987" w:rsidRPr="009338B8" w:rsidTr="000C4987">
        <w:trPr>
          <w:trHeight w:val="345"/>
        </w:trPr>
        <w:tc>
          <w:tcPr>
            <w:tcW w:w="1080" w:type="dxa"/>
            <w:vMerge w:val="restart"/>
          </w:tcPr>
          <w:p w:rsidR="000C4987" w:rsidRPr="009338B8" w:rsidRDefault="000C4987" w:rsidP="00526DE1">
            <w:pPr>
              <w:spacing w:line="320" w:lineRule="exact"/>
              <w:rPr>
                <w:rFonts w:ascii="宋体" w:hAnsi="宋体"/>
                <w:sz w:val="18"/>
                <w:szCs w:val="18"/>
              </w:rPr>
            </w:pPr>
            <w:r>
              <w:rPr>
                <w:rFonts w:ascii="宋体" w:hAnsi="宋体" w:hint="eastAsia"/>
                <w:sz w:val="18"/>
                <w:szCs w:val="18"/>
              </w:rPr>
              <w:t>东北财经大学</w:t>
            </w:r>
          </w:p>
        </w:tc>
        <w:tc>
          <w:tcPr>
            <w:tcW w:w="4500" w:type="dxa"/>
            <w:vMerge w:val="restart"/>
          </w:tcPr>
          <w:p w:rsidR="000C4987" w:rsidRPr="00D13330" w:rsidRDefault="000C4987" w:rsidP="00526DE1">
            <w:pPr>
              <w:spacing w:line="320" w:lineRule="exact"/>
              <w:rPr>
                <w:rFonts w:ascii="宋体" w:hAnsi="宋体"/>
                <w:sz w:val="18"/>
                <w:szCs w:val="18"/>
              </w:rPr>
            </w:pPr>
            <w:r w:rsidRPr="00D13330">
              <w:rPr>
                <w:rFonts w:ascii="宋体" w:hAnsi="宋体" w:hint="eastAsia"/>
                <w:sz w:val="18"/>
                <w:szCs w:val="18"/>
              </w:rPr>
              <w:t>信息管理与信息系统、金融学、会计学、人力资源管理、工程管理、行政管理、法学、电子商务、证券与期货、建设工程管理、房地产开发与管理等</w:t>
            </w:r>
          </w:p>
        </w:tc>
        <w:tc>
          <w:tcPr>
            <w:tcW w:w="1080" w:type="dxa"/>
          </w:tcPr>
          <w:p w:rsidR="000C4987" w:rsidRPr="00D13330" w:rsidRDefault="000C4987" w:rsidP="000C4987">
            <w:pPr>
              <w:spacing w:line="320" w:lineRule="exact"/>
              <w:rPr>
                <w:rFonts w:ascii="宋体" w:hAnsi="宋体"/>
                <w:sz w:val="18"/>
                <w:szCs w:val="18"/>
              </w:rPr>
            </w:pPr>
            <w:r w:rsidRPr="00D13330">
              <w:rPr>
                <w:rFonts w:ascii="宋体" w:hAnsi="宋体" w:hint="eastAsia"/>
                <w:sz w:val="18"/>
                <w:szCs w:val="18"/>
              </w:rPr>
              <w:t>专升本</w:t>
            </w:r>
          </w:p>
        </w:tc>
        <w:tc>
          <w:tcPr>
            <w:tcW w:w="720" w:type="dxa"/>
          </w:tcPr>
          <w:p w:rsidR="000C4987" w:rsidRPr="00D13330" w:rsidRDefault="000C4987" w:rsidP="000C4987">
            <w:pPr>
              <w:spacing w:line="320" w:lineRule="exact"/>
              <w:rPr>
                <w:rFonts w:ascii="宋体" w:hAnsi="宋体"/>
                <w:sz w:val="18"/>
                <w:szCs w:val="18"/>
              </w:rPr>
            </w:pPr>
            <w:r w:rsidRPr="00D13330">
              <w:rPr>
                <w:rFonts w:ascii="宋体" w:hAnsi="宋体" w:hint="eastAsia"/>
                <w:sz w:val="18"/>
                <w:szCs w:val="18"/>
              </w:rPr>
              <w:t>2.5年</w:t>
            </w:r>
          </w:p>
        </w:tc>
        <w:tc>
          <w:tcPr>
            <w:tcW w:w="1080" w:type="dxa"/>
          </w:tcPr>
          <w:p w:rsidR="000C4987" w:rsidRPr="00D13330" w:rsidRDefault="000C4987" w:rsidP="000C4987">
            <w:pPr>
              <w:spacing w:line="320" w:lineRule="exact"/>
              <w:rPr>
                <w:rFonts w:ascii="宋体" w:hAnsi="宋体"/>
                <w:sz w:val="18"/>
                <w:szCs w:val="18"/>
              </w:rPr>
            </w:pPr>
            <w:r w:rsidRPr="00D13330">
              <w:rPr>
                <w:rFonts w:ascii="宋体" w:hAnsi="宋体" w:hint="eastAsia"/>
                <w:sz w:val="18"/>
                <w:szCs w:val="18"/>
              </w:rPr>
              <w:t>2.5-6年</w:t>
            </w:r>
          </w:p>
        </w:tc>
      </w:tr>
      <w:tr w:rsidR="000C4987" w:rsidRPr="009338B8" w:rsidTr="00526DE1">
        <w:trPr>
          <w:trHeight w:val="345"/>
        </w:trPr>
        <w:tc>
          <w:tcPr>
            <w:tcW w:w="1080" w:type="dxa"/>
            <w:vMerge/>
          </w:tcPr>
          <w:p w:rsidR="000C4987" w:rsidRDefault="000C4987" w:rsidP="00526DE1">
            <w:pPr>
              <w:spacing w:line="320" w:lineRule="exact"/>
              <w:rPr>
                <w:rFonts w:ascii="宋体" w:hAnsi="宋体" w:hint="eastAsia"/>
                <w:sz w:val="18"/>
                <w:szCs w:val="18"/>
              </w:rPr>
            </w:pPr>
          </w:p>
        </w:tc>
        <w:tc>
          <w:tcPr>
            <w:tcW w:w="4500" w:type="dxa"/>
            <w:vMerge/>
          </w:tcPr>
          <w:p w:rsidR="000C4987" w:rsidRPr="00D13330" w:rsidRDefault="000C4987" w:rsidP="00526DE1">
            <w:pPr>
              <w:spacing w:line="320" w:lineRule="exact"/>
              <w:rPr>
                <w:rFonts w:ascii="宋体" w:hAnsi="宋体" w:hint="eastAsia"/>
                <w:sz w:val="18"/>
                <w:szCs w:val="18"/>
              </w:rPr>
            </w:pPr>
          </w:p>
        </w:tc>
        <w:tc>
          <w:tcPr>
            <w:tcW w:w="1080" w:type="dxa"/>
          </w:tcPr>
          <w:p w:rsidR="000C4987" w:rsidRPr="00D13330" w:rsidRDefault="000C4987" w:rsidP="00526DE1">
            <w:pPr>
              <w:spacing w:line="320" w:lineRule="exact"/>
              <w:rPr>
                <w:rFonts w:ascii="宋体" w:hAnsi="宋体" w:hint="eastAsia"/>
                <w:sz w:val="18"/>
                <w:szCs w:val="18"/>
              </w:rPr>
            </w:pPr>
            <w:proofErr w:type="gramStart"/>
            <w:r w:rsidRPr="00D13330">
              <w:rPr>
                <w:rFonts w:ascii="宋体" w:hAnsi="宋体" w:hint="eastAsia"/>
                <w:sz w:val="18"/>
                <w:szCs w:val="18"/>
              </w:rPr>
              <w:t>高起专</w:t>
            </w:r>
            <w:proofErr w:type="gramEnd"/>
          </w:p>
        </w:tc>
        <w:tc>
          <w:tcPr>
            <w:tcW w:w="720" w:type="dxa"/>
          </w:tcPr>
          <w:p w:rsidR="000C4987" w:rsidRPr="00D13330" w:rsidRDefault="000C4987" w:rsidP="00526DE1">
            <w:pPr>
              <w:spacing w:line="320" w:lineRule="exact"/>
              <w:rPr>
                <w:rFonts w:ascii="宋体" w:hAnsi="宋体"/>
                <w:sz w:val="18"/>
                <w:szCs w:val="18"/>
              </w:rPr>
            </w:pPr>
            <w:r w:rsidRPr="00D13330">
              <w:rPr>
                <w:rFonts w:ascii="宋体" w:hAnsi="宋体" w:hint="eastAsia"/>
                <w:sz w:val="18"/>
                <w:szCs w:val="18"/>
              </w:rPr>
              <w:t>2.5年</w:t>
            </w:r>
          </w:p>
        </w:tc>
        <w:tc>
          <w:tcPr>
            <w:tcW w:w="1080" w:type="dxa"/>
          </w:tcPr>
          <w:p w:rsidR="000C4987" w:rsidRPr="00D13330" w:rsidRDefault="000C4987" w:rsidP="00526DE1">
            <w:pPr>
              <w:spacing w:line="320" w:lineRule="exact"/>
              <w:rPr>
                <w:rFonts w:ascii="宋体" w:hAnsi="宋体" w:hint="eastAsia"/>
                <w:sz w:val="18"/>
                <w:szCs w:val="18"/>
              </w:rPr>
            </w:pPr>
            <w:r w:rsidRPr="00D13330">
              <w:rPr>
                <w:rFonts w:ascii="宋体" w:hAnsi="宋体" w:hint="eastAsia"/>
                <w:sz w:val="18"/>
                <w:szCs w:val="18"/>
              </w:rPr>
              <w:t>2.5-</w:t>
            </w:r>
            <w:r>
              <w:rPr>
                <w:rFonts w:ascii="宋体" w:hAnsi="宋体" w:hint="eastAsia"/>
                <w:sz w:val="18"/>
                <w:szCs w:val="18"/>
              </w:rPr>
              <w:t>4</w:t>
            </w:r>
            <w:r w:rsidRPr="00D13330">
              <w:rPr>
                <w:rFonts w:ascii="宋体" w:hAnsi="宋体" w:hint="eastAsia"/>
                <w:sz w:val="18"/>
                <w:szCs w:val="18"/>
              </w:rPr>
              <w:t>年</w:t>
            </w:r>
          </w:p>
        </w:tc>
      </w:tr>
      <w:tr w:rsidR="000C4987" w:rsidRPr="009338B8" w:rsidTr="00526DE1">
        <w:trPr>
          <w:trHeight w:val="345"/>
        </w:trPr>
        <w:tc>
          <w:tcPr>
            <w:tcW w:w="1080" w:type="dxa"/>
            <w:vMerge/>
          </w:tcPr>
          <w:p w:rsidR="000C4987" w:rsidRDefault="000C4987" w:rsidP="00526DE1">
            <w:pPr>
              <w:spacing w:line="320" w:lineRule="exact"/>
              <w:rPr>
                <w:rFonts w:ascii="宋体" w:hAnsi="宋体" w:hint="eastAsia"/>
                <w:sz w:val="18"/>
                <w:szCs w:val="18"/>
              </w:rPr>
            </w:pPr>
          </w:p>
        </w:tc>
        <w:tc>
          <w:tcPr>
            <w:tcW w:w="4500" w:type="dxa"/>
            <w:vMerge/>
          </w:tcPr>
          <w:p w:rsidR="000C4987" w:rsidRPr="00D13330" w:rsidRDefault="000C4987" w:rsidP="00526DE1">
            <w:pPr>
              <w:spacing w:line="320" w:lineRule="exact"/>
              <w:rPr>
                <w:rFonts w:ascii="宋体" w:hAnsi="宋体" w:hint="eastAsia"/>
                <w:sz w:val="18"/>
                <w:szCs w:val="18"/>
              </w:rPr>
            </w:pPr>
          </w:p>
        </w:tc>
        <w:tc>
          <w:tcPr>
            <w:tcW w:w="1080" w:type="dxa"/>
          </w:tcPr>
          <w:p w:rsidR="000C4987" w:rsidRPr="00D13330" w:rsidRDefault="000C4987" w:rsidP="00526DE1">
            <w:pPr>
              <w:spacing w:line="320" w:lineRule="exact"/>
              <w:rPr>
                <w:rFonts w:ascii="宋体" w:hAnsi="宋体" w:hint="eastAsia"/>
                <w:sz w:val="18"/>
                <w:szCs w:val="18"/>
              </w:rPr>
            </w:pPr>
            <w:r w:rsidRPr="00D13330">
              <w:rPr>
                <w:rFonts w:ascii="宋体" w:hAnsi="宋体" w:hint="eastAsia"/>
                <w:sz w:val="18"/>
                <w:szCs w:val="18"/>
              </w:rPr>
              <w:t>高起本</w:t>
            </w:r>
          </w:p>
        </w:tc>
        <w:tc>
          <w:tcPr>
            <w:tcW w:w="720" w:type="dxa"/>
          </w:tcPr>
          <w:p w:rsidR="000C4987" w:rsidRPr="00D13330" w:rsidRDefault="000C4987" w:rsidP="00526DE1">
            <w:pPr>
              <w:spacing w:line="320" w:lineRule="exact"/>
              <w:rPr>
                <w:rFonts w:ascii="宋体" w:hAnsi="宋体" w:hint="eastAsia"/>
                <w:sz w:val="18"/>
                <w:szCs w:val="18"/>
              </w:rPr>
            </w:pPr>
            <w:r w:rsidRPr="00D13330">
              <w:rPr>
                <w:rFonts w:ascii="宋体" w:hAnsi="宋体" w:hint="eastAsia"/>
                <w:sz w:val="18"/>
                <w:szCs w:val="18"/>
              </w:rPr>
              <w:t>5年</w:t>
            </w:r>
          </w:p>
        </w:tc>
        <w:tc>
          <w:tcPr>
            <w:tcW w:w="1080" w:type="dxa"/>
          </w:tcPr>
          <w:p w:rsidR="000C4987" w:rsidRPr="00D13330" w:rsidRDefault="000C4987" w:rsidP="00526DE1">
            <w:pPr>
              <w:spacing w:line="320" w:lineRule="exact"/>
              <w:rPr>
                <w:rFonts w:ascii="宋体" w:hAnsi="宋体" w:hint="eastAsia"/>
                <w:sz w:val="18"/>
                <w:szCs w:val="18"/>
              </w:rPr>
            </w:pPr>
            <w:r w:rsidRPr="00D13330">
              <w:rPr>
                <w:rFonts w:ascii="宋体" w:hAnsi="宋体" w:hint="eastAsia"/>
                <w:sz w:val="18"/>
                <w:szCs w:val="18"/>
              </w:rPr>
              <w:t>5-8年</w:t>
            </w:r>
          </w:p>
        </w:tc>
      </w:tr>
      <w:tr w:rsidR="000C4987" w:rsidRPr="009338B8" w:rsidTr="00CE7B75">
        <w:trPr>
          <w:trHeight w:val="780"/>
        </w:trPr>
        <w:tc>
          <w:tcPr>
            <w:tcW w:w="1080" w:type="dxa"/>
          </w:tcPr>
          <w:p w:rsidR="000C4987" w:rsidRPr="009338B8" w:rsidRDefault="000C4987" w:rsidP="00526DE1">
            <w:pPr>
              <w:spacing w:line="320" w:lineRule="exact"/>
              <w:rPr>
                <w:rFonts w:ascii="宋体" w:hAnsi="宋体"/>
                <w:sz w:val="18"/>
                <w:szCs w:val="18"/>
              </w:rPr>
            </w:pPr>
            <w:r>
              <w:rPr>
                <w:rFonts w:ascii="宋体" w:hAnsi="宋体" w:hint="eastAsia"/>
                <w:sz w:val="18"/>
                <w:szCs w:val="18"/>
              </w:rPr>
              <w:t>吉林大学</w:t>
            </w:r>
          </w:p>
        </w:tc>
        <w:tc>
          <w:tcPr>
            <w:tcW w:w="4500" w:type="dxa"/>
          </w:tcPr>
          <w:p w:rsidR="000C4987" w:rsidRPr="00D13330" w:rsidRDefault="000C4987" w:rsidP="00526DE1">
            <w:pPr>
              <w:spacing w:line="320" w:lineRule="exact"/>
              <w:rPr>
                <w:rFonts w:ascii="宋体" w:hAnsi="宋体"/>
                <w:sz w:val="18"/>
                <w:szCs w:val="18"/>
              </w:rPr>
            </w:pPr>
            <w:r w:rsidRPr="00D13330">
              <w:rPr>
                <w:rFonts w:ascii="宋体" w:hAnsi="宋体" w:hint="eastAsia"/>
                <w:sz w:val="18"/>
                <w:szCs w:val="18"/>
              </w:rPr>
              <w:t>护理学、药学、经济管理、计算机通信、通信工程、机械电子工程、土木工程、汽车服务工程、会计电算化等</w:t>
            </w:r>
          </w:p>
        </w:tc>
        <w:tc>
          <w:tcPr>
            <w:tcW w:w="1080" w:type="dxa"/>
          </w:tcPr>
          <w:p w:rsidR="00CE7B75" w:rsidRDefault="000C4987" w:rsidP="00CE7B75">
            <w:pPr>
              <w:spacing w:line="320" w:lineRule="exact"/>
              <w:rPr>
                <w:rFonts w:ascii="宋体" w:hAnsi="宋体" w:hint="eastAsia"/>
                <w:sz w:val="18"/>
                <w:szCs w:val="18"/>
              </w:rPr>
            </w:pPr>
            <w:r w:rsidRPr="00D13330">
              <w:rPr>
                <w:rFonts w:ascii="宋体" w:hAnsi="宋体" w:hint="eastAsia"/>
                <w:sz w:val="18"/>
                <w:szCs w:val="18"/>
              </w:rPr>
              <w:t>专升本</w:t>
            </w:r>
          </w:p>
          <w:p w:rsidR="000C4987" w:rsidRPr="00D13330" w:rsidRDefault="000C4987" w:rsidP="00CE7B75">
            <w:pPr>
              <w:spacing w:line="320" w:lineRule="exact"/>
              <w:rPr>
                <w:rFonts w:ascii="宋体" w:hAnsi="宋体"/>
                <w:sz w:val="18"/>
                <w:szCs w:val="18"/>
              </w:rPr>
            </w:pPr>
            <w:proofErr w:type="gramStart"/>
            <w:r w:rsidRPr="00D13330">
              <w:rPr>
                <w:rFonts w:ascii="宋体" w:hAnsi="宋体" w:hint="eastAsia"/>
                <w:sz w:val="18"/>
                <w:szCs w:val="18"/>
              </w:rPr>
              <w:t>高起专</w:t>
            </w:r>
            <w:proofErr w:type="gramEnd"/>
          </w:p>
        </w:tc>
        <w:tc>
          <w:tcPr>
            <w:tcW w:w="720" w:type="dxa"/>
            <w:vAlign w:val="center"/>
          </w:tcPr>
          <w:p w:rsidR="000C4987" w:rsidRPr="00D13330" w:rsidRDefault="000C4987" w:rsidP="00CE7B75">
            <w:pPr>
              <w:spacing w:line="320" w:lineRule="exact"/>
              <w:rPr>
                <w:rFonts w:ascii="宋体" w:hAnsi="宋体"/>
                <w:sz w:val="18"/>
                <w:szCs w:val="18"/>
              </w:rPr>
            </w:pPr>
            <w:r w:rsidRPr="00D13330">
              <w:rPr>
                <w:rFonts w:ascii="宋体" w:hAnsi="宋体" w:hint="eastAsia"/>
                <w:sz w:val="18"/>
                <w:szCs w:val="18"/>
              </w:rPr>
              <w:t>2.5年</w:t>
            </w:r>
          </w:p>
        </w:tc>
        <w:tc>
          <w:tcPr>
            <w:tcW w:w="1080" w:type="dxa"/>
            <w:vAlign w:val="center"/>
          </w:tcPr>
          <w:p w:rsidR="000C4987" w:rsidRPr="00D13330" w:rsidRDefault="000C4987" w:rsidP="00CE7B75">
            <w:pPr>
              <w:spacing w:line="320" w:lineRule="exact"/>
              <w:rPr>
                <w:rFonts w:ascii="宋体" w:hAnsi="宋体"/>
                <w:sz w:val="18"/>
                <w:szCs w:val="18"/>
              </w:rPr>
            </w:pPr>
            <w:r w:rsidRPr="00D13330">
              <w:rPr>
                <w:rFonts w:ascii="宋体" w:hAnsi="宋体" w:hint="eastAsia"/>
                <w:sz w:val="18"/>
                <w:szCs w:val="18"/>
              </w:rPr>
              <w:t>2.5-6年</w:t>
            </w:r>
          </w:p>
        </w:tc>
      </w:tr>
      <w:tr w:rsidR="00CE7B75" w:rsidRPr="009338B8" w:rsidTr="00CE7B75">
        <w:trPr>
          <w:trHeight w:val="350"/>
        </w:trPr>
        <w:tc>
          <w:tcPr>
            <w:tcW w:w="1080" w:type="dxa"/>
            <w:vMerge w:val="restart"/>
          </w:tcPr>
          <w:p w:rsidR="00CE7B75" w:rsidRPr="009338B8" w:rsidRDefault="00CE7B75" w:rsidP="00526DE1">
            <w:pPr>
              <w:spacing w:line="320" w:lineRule="exact"/>
              <w:rPr>
                <w:rFonts w:ascii="宋体" w:hAnsi="宋体"/>
                <w:sz w:val="18"/>
                <w:szCs w:val="18"/>
              </w:rPr>
            </w:pPr>
            <w:r>
              <w:rPr>
                <w:rFonts w:ascii="宋体" w:hAnsi="宋体" w:hint="eastAsia"/>
                <w:sz w:val="18"/>
                <w:szCs w:val="18"/>
              </w:rPr>
              <w:t>西北工业大学</w:t>
            </w:r>
          </w:p>
        </w:tc>
        <w:tc>
          <w:tcPr>
            <w:tcW w:w="4500" w:type="dxa"/>
            <w:vMerge w:val="restart"/>
          </w:tcPr>
          <w:p w:rsidR="00CE7B75" w:rsidRPr="00D13330" w:rsidRDefault="00CE7B75" w:rsidP="00526DE1">
            <w:pPr>
              <w:spacing w:line="320" w:lineRule="exact"/>
              <w:rPr>
                <w:rFonts w:ascii="宋体" w:hAnsi="宋体"/>
                <w:sz w:val="18"/>
                <w:szCs w:val="18"/>
              </w:rPr>
            </w:pPr>
            <w:r w:rsidRPr="00D13330">
              <w:rPr>
                <w:rFonts w:ascii="宋体" w:hAnsi="宋体" w:hint="eastAsia"/>
                <w:sz w:val="18"/>
                <w:szCs w:val="18"/>
              </w:rPr>
              <w:t>建筑工程技术、化学工程与工艺、电气工程及其自动化、土木工程、机械设计制造及其自动化、应用化工技术、电力系统自动化技术、计算机科学与技术等</w:t>
            </w:r>
          </w:p>
        </w:tc>
        <w:tc>
          <w:tcPr>
            <w:tcW w:w="1080" w:type="dxa"/>
          </w:tcPr>
          <w:p w:rsidR="00CE7B75" w:rsidRPr="00D13330" w:rsidRDefault="00CE7B75" w:rsidP="00CE7B75">
            <w:pPr>
              <w:spacing w:line="320" w:lineRule="exact"/>
              <w:rPr>
                <w:rFonts w:ascii="宋体" w:hAnsi="宋体"/>
                <w:sz w:val="18"/>
                <w:szCs w:val="18"/>
              </w:rPr>
            </w:pPr>
            <w:r w:rsidRPr="00D13330">
              <w:rPr>
                <w:rFonts w:ascii="宋体" w:hAnsi="宋体" w:hint="eastAsia"/>
                <w:sz w:val="18"/>
                <w:szCs w:val="18"/>
              </w:rPr>
              <w:t>专升本</w:t>
            </w:r>
          </w:p>
        </w:tc>
        <w:tc>
          <w:tcPr>
            <w:tcW w:w="720" w:type="dxa"/>
          </w:tcPr>
          <w:p w:rsidR="00CE7B75" w:rsidRPr="00D13330" w:rsidRDefault="00CE7B75" w:rsidP="00CE7B75">
            <w:pPr>
              <w:spacing w:line="320" w:lineRule="exact"/>
              <w:rPr>
                <w:rFonts w:ascii="宋体" w:hAnsi="宋体"/>
                <w:sz w:val="18"/>
                <w:szCs w:val="18"/>
              </w:rPr>
            </w:pPr>
            <w:r w:rsidRPr="00D13330">
              <w:rPr>
                <w:rFonts w:ascii="宋体" w:hAnsi="宋体" w:hint="eastAsia"/>
                <w:sz w:val="18"/>
                <w:szCs w:val="18"/>
              </w:rPr>
              <w:t>2.5年</w:t>
            </w:r>
          </w:p>
        </w:tc>
        <w:tc>
          <w:tcPr>
            <w:tcW w:w="1080" w:type="dxa"/>
          </w:tcPr>
          <w:p w:rsidR="00CE7B75" w:rsidRPr="00D13330" w:rsidRDefault="00CE7B75" w:rsidP="00CE7B75">
            <w:pPr>
              <w:spacing w:line="320" w:lineRule="exact"/>
              <w:rPr>
                <w:rFonts w:ascii="宋体" w:hAnsi="宋体"/>
                <w:sz w:val="18"/>
                <w:szCs w:val="18"/>
              </w:rPr>
            </w:pPr>
            <w:r w:rsidRPr="00D13330">
              <w:rPr>
                <w:rFonts w:ascii="宋体" w:hAnsi="宋体" w:hint="eastAsia"/>
                <w:sz w:val="18"/>
                <w:szCs w:val="18"/>
              </w:rPr>
              <w:t>2.5-6年</w:t>
            </w:r>
          </w:p>
        </w:tc>
      </w:tr>
      <w:tr w:rsidR="00CE7B75" w:rsidRPr="009338B8" w:rsidTr="00526DE1">
        <w:trPr>
          <w:trHeight w:val="350"/>
        </w:trPr>
        <w:tc>
          <w:tcPr>
            <w:tcW w:w="1080" w:type="dxa"/>
            <w:vMerge/>
          </w:tcPr>
          <w:p w:rsidR="00CE7B75" w:rsidRDefault="00CE7B75" w:rsidP="00526DE1">
            <w:pPr>
              <w:spacing w:line="320" w:lineRule="exact"/>
              <w:rPr>
                <w:rFonts w:ascii="宋体" w:hAnsi="宋体" w:hint="eastAsia"/>
                <w:sz w:val="18"/>
                <w:szCs w:val="18"/>
              </w:rPr>
            </w:pPr>
          </w:p>
        </w:tc>
        <w:tc>
          <w:tcPr>
            <w:tcW w:w="4500" w:type="dxa"/>
            <w:vMerge/>
          </w:tcPr>
          <w:p w:rsidR="00CE7B75" w:rsidRPr="00D13330" w:rsidRDefault="00CE7B75" w:rsidP="00526DE1">
            <w:pPr>
              <w:spacing w:line="320" w:lineRule="exact"/>
              <w:rPr>
                <w:rFonts w:ascii="宋体" w:hAnsi="宋体" w:hint="eastAsia"/>
                <w:sz w:val="18"/>
                <w:szCs w:val="18"/>
              </w:rPr>
            </w:pPr>
          </w:p>
        </w:tc>
        <w:tc>
          <w:tcPr>
            <w:tcW w:w="1080" w:type="dxa"/>
          </w:tcPr>
          <w:p w:rsidR="00CE7B75" w:rsidRPr="00D13330" w:rsidRDefault="00CE7B75" w:rsidP="00526DE1">
            <w:pPr>
              <w:spacing w:line="320" w:lineRule="exact"/>
              <w:rPr>
                <w:rFonts w:ascii="宋体" w:hAnsi="宋体" w:hint="eastAsia"/>
                <w:sz w:val="18"/>
                <w:szCs w:val="18"/>
              </w:rPr>
            </w:pPr>
            <w:proofErr w:type="gramStart"/>
            <w:r w:rsidRPr="00D13330">
              <w:rPr>
                <w:rFonts w:ascii="宋体" w:hAnsi="宋体" w:hint="eastAsia"/>
                <w:sz w:val="18"/>
                <w:szCs w:val="18"/>
              </w:rPr>
              <w:t>高起专</w:t>
            </w:r>
            <w:proofErr w:type="gramEnd"/>
          </w:p>
        </w:tc>
        <w:tc>
          <w:tcPr>
            <w:tcW w:w="720" w:type="dxa"/>
          </w:tcPr>
          <w:p w:rsidR="00CE7B75" w:rsidRPr="00D13330" w:rsidRDefault="00CE7B75" w:rsidP="00526DE1">
            <w:pPr>
              <w:spacing w:line="320" w:lineRule="exact"/>
              <w:rPr>
                <w:rFonts w:ascii="宋体" w:hAnsi="宋体" w:hint="eastAsia"/>
                <w:sz w:val="18"/>
                <w:szCs w:val="18"/>
              </w:rPr>
            </w:pPr>
            <w:r w:rsidRPr="00D13330">
              <w:rPr>
                <w:rFonts w:ascii="宋体" w:hAnsi="宋体" w:hint="eastAsia"/>
                <w:sz w:val="18"/>
                <w:szCs w:val="18"/>
              </w:rPr>
              <w:t>2.5年</w:t>
            </w:r>
          </w:p>
        </w:tc>
        <w:tc>
          <w:tcPr>
            <w:tcW w:w="1080" w:type="dxa"/>
          </w:tcPr>
          <w:p w:rsidR="00CE7B75" w:rsidRPr="00D13330" w:rsidRDefault="00CE7B75" w:rsidP="00526DE1">
            <w:pPr>
              <w:spacing w:line="320" w:lineRule="exact"/>
              <w:rPr>
                <w:rFonts w:ascii="宋体" w:hAnsi="宋体" w:hint="eastAsia"/>
                <w:sz w:val="18"/>
                <w:szCs w:val="18"/>
              </w:rPr>
            </w:pPr>
            <w:r w:rsidRPr="00D13330">
              <w:rPr>
                <w:rFonts w:ascii="宋体" w:hAnsi="宋体" w:hint="eastAsia"/>
                <w:sz w:val="18"/>
                <w:szCs w:val="18"/>
              </w:rPr>
              <w:t>2.5-6年</w:t>
            </w:r>
          </w:p>
        </w:tc>
      </w:tr>
      <w:tr w:rsidR="00CE7B75" w:rsidRPr="009338B8" w:rsidTr="00526DE1">
        <w:trPr>
          <w:trHeight w:val="350"/>
        </w:trPr>
        <w:tc>
          <w:tcPr>
            <w:tcW w:w="1080" w:type="dxa"/>
            <w:vMerge/>
          </w:tcPr>
          <w:p w:rsidR="00CE7B75" w:rsidRDefault="00CE7B75" w:rsidP="00526DE1">
            <w:pPr>
              <w:spacing w:line="320" w:lineRule="exact"/>
              <w:rPr>
                <w:rFonts w:ascii="宋体" w:hAnsi="宋体" w:hint="eastAsia"/>
                <w:sz w:val="18"/>
                <w:szCs w:val="18"/>
              </w:rPr>
            </w:pPr>
          </w:p>
        </w:tc>
        <w:tc>
          <w:tcPr>
            <w:tcW w:w="4500" w:type="dxa"/>
            <w:vMerge/>
          </w:tcPr>
          <w:p w:rsidR="00CE7B75" w:rsidRPr="00D13330" w:rsidRDefault="00CE7B75" w:rsidP="00526DE1">
            <w:pPr>
              <w:spacing w:line="320" w:lineRule="exact"/>
              <w:rPr>
                <w:rFonts w:ascii="宋体" w:hAnsi="宋体" w:hint="eastAsia"/>
                <w:sz w:val="18"/>
                <w:szCs w:val="18"/>
              </w:rPr>
            </w:pPr>
          </w:p>
        </w:tc>
        <w:tc>
          <w:tcPr>
            <w:tcW w:w="1080" w:type="dxa"/>
          </w:tcPr>
          <w:p w:rsidR="00CE7B75" w:rsidRPr="00D13330" w:rsidRDefault="00CE7B75" w:rsidP="00526DE1">
            <w:pPr>
              <w:spacing w:line="320" w:lineRule="exact"/>
              <w:rPr>
                <w:rFonts w:ascii="宋体" w:hAnsi="宋体" w:hint="eastAsia"/>
                <w:sz w:val="18"/>
                <w:szCs w:val="18"/>
              </w:rPr>
            </w:pPr>
            <w:r w:rsidRPr="00D13330">
              <w:rPr>
                <w:rFonts w:ascii="宋体" w:hAnsi="宋体" w:hint="eastAsia"/>
                <w:sz w:val="18"/>
                <w:szCs w:val="18"/>
              </w:rPr>
              <w:t>高起本</w:t>
            </w:r>
          </w:p>
        </w:tc>
        <w:tc>
          <w:tcPr>
            <w:tcW w:w="720" w:type="dxa"/>
          </w:tcPr>
          <w:p w:rsidR="00CE7B75" w:rsidRPr="00D13330" w:rsidRDefault="00CE7B75" w:rsidP="00526DE1">
            <w:pPr>
              <w:spacing w:line="320" w:lineRule="exact"/>
              <w:rPr>
                <w:rFonts w:ascii="宋体" w:hAnsi="宋体" w:hint="eastAsia"/>
                <w:sz w:val="18"/>
                <w:szCs w:val="18"/>
              </w:rPr>
            </w:pPr>
            <w:r w:rsidRPr="00D13330">
              <w:rPr>
                <w:rFonts w:ascii="宋体" w:hAnsi="宋体" w:hint="eastAsia"/>
                <w:sz w:val="18"/>
                <w:szCs w:val="18"/>
              </w:rPr>
              <w:t>5年</w:t>
            </w:r>
          </w:p>
        </w:tc>
        <w:tc>
          <w:tcPr>
            <w:tcW w:w="1080" w:type="dxa"/>
          </w:tcPr>
          <w:p w:rsidR="00CE7B75" w:rsidRPr="00D13330" w:rsidRDefault="00CE7B75" w:rsidP="00526DE1">
            <w:pPr>
              <w:spacing w:line="320" w:lineRule="exact"/>
              <w:rPr>
                <w:rFonts w:ascii="宋体" w:hAnsi="宋体" w:hint="eastAsia"/>
                <w:sz w:val="18"/>
                <w:szCs w:val="18"/>
              </w:rPr>
            </w:pPr>
            <w:r w:rsidRPr="00D13330">
              <w:rPr>
                <w:rFonts w:ascii="宋体" w:hAnsi="宋体" w:hint="eastAsia"/>
                <w:sz w:val="18"/>
                <w:szCs w:val="18"/>
              </w:rPr>
              <w:t>5-8年</w:t>
            </w:r>
          </w:p>
        </w:tc>
      </w:tr>
    </w:tbl>
    <w:p w:rsidR="00CE7B75" w:rsidRDefault="00CE7B75" w:rsidP="00CE7B75">
      <w:pPr>
        <w:spacing w:afterLines="50" w:after="156"/>
        <w:ind w:firstLineChars="200" w:firstLine="420"/>
        <w:rPr>
          <w:rFonts w:ascii="宋体" w:hAnsi="宋体" w:hint="eastAsia"/>
          <w:szCs w:val="21"/>
        </w:rPr>
      </w:pPr>
    </w:p>
    <w:p w:rsidR="00CE7B75" w:rsidRPr="000E40A4" w:rsidRDefault="00CE7B75" w:rsidP="00CE7B75">
      <w:pPr>
        <w:spacing w:afterLines="50" w:after="156"/>
        <w:ind w:firstLineChars="200" w:firstLine="420"/>
        <w:rPr>
          <w:rFonts w:ascii="宋体" w:hAnsi="宋体"/>
          <w:szCs w:val="21"/>
        </w:rPr>
      </w:pPr>
      <w:r w:rsidRPr="000E40A4">
        <w:rPr>
          <w:rFonts w:ascii="宋体" w:hAnsi="宋体" w:hint="eastAsia"/>
          <w:szCs w:val="21"/>
        </w:rPr>
        <w:t>报名地点：通辽职业学院内钟楼505室电大奥鹏学习中心</w:t>
      </w:r>
    </w:p>
    <w:p w:rsidR="00CE7B75" w:rsidRPr="000E40A4" w:rsidRDefault="00CE7B75" w:rsidP="00CE7B75">
      <w:pPr>
        <w:spacing w:afterLines="50" w:after="156"/>
        <w:ind w:firstLineChars="200" w:firstLine="420"/>
        <w:rPr>
          <w:rFonts w:ascii="宋体" w:hAnsi="宋体"/>
          <w:szCs w:val="21"/>
        </w:rPr>
      </w:pPr>
      <w:r w:rsidRPr="000E40A4">
        <w:rPr>
          <w:rFonts w:ascii="宋体" w:hAnsi="宋体" w:hint="eastAsia"/>
          <w:szCs w:val="21"/>
        </w:rPr>
        <w:t>联 系 人：叶老师  15904756992       庄老师  13948553958</w:t>
      </w:r>
    </w:p>
    <w:sectPr w:rsidR="00CE7B75" w:rsidRPr="000E40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D0" w:rsidRDefault="00A13ED0" w:rsidP="00D63FFF">
      <w:r>
        <w:separator/>
      </w:r>
    </w:p>
  </w:endnote>
  <w:endnote w:type="continuationSeparator" w:id="0">
    <w:p w:rsidR="00A13ED0" w:rsidRDefault="00A13ED0" w:rsidP="00D6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D0" w:rsidRDefault="00A13ED0" w:rsidP="00D63FFF">
      <w:r>
        <w:separator/>
      </w:r>
    </w:p>
  </w:footnote>
  <w:footnote w:type="continuationSeparator" w:id="0">
    <w:p w:rsidR="00A13ED0" w:rsidRDefault="00A13ED0" w:rsidP="00D63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30"/>
    <w:rsid w:val="00087CA4"/>
    <w:rsid w:val="000C4987"/>
    <w:rsid w:val="000E40A4"/>
    <w:rsid w:val="00A13ED0"/>
    <w:rsid w:val="00A952E1"/>
    <w:rsid w:val="00CE0157"/>
    <w:rsid w:val="00CE7B75"/>
    <w:rsid w:val="00D13330"/>
    <w:rsid w:val="00D6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3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3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3FFF"/>
    <w:rPr>
      <w:rFonts w:ascii="Times New Roman" w:eastAsia="宋体" w:hAnsi="Times New Roman" w:cs="Times New Roman"/>
      <w:sz w:val="18"/>
      <w:szCs w:val="18"/>
    </w:rPr>
  </w:style>
  <w:style w:type="paragraph" w:styleId="a4">
    <w:name w:val="footer"/>
    <w:basedOn w:val="a"/>
    <w:link w:val="Char0"/>
    <w:uiPriority w:val="99"/>
    <w:unhideWhenUsed/>
    <w:rsid w:val="00D63FFF"/>
    <w:pPr>
      <w:tabs>
        <w:tab w:val="center" w:pos="4153"/>
        <w:tab w:val="right" w:pos="8306"/>
      </w:tabs>
      <w:snapToGrid w:val="0"/>
      <w:jc w:val="left"/>
    </w:pPr>
    <w:rPr>
      <w:sz w:val="18"/>
      <w:szCs w:val="18"/>
    </w:rPr>
  </w:style>
  <w:style w:type="character" w:customStyle="1" w:styleId="Char0">
    <w:name w:val="页脚 Char"/>
    <w:basedOn w:val="a0"/>
    <w:link w:val="a4"/>
    <w:uiPriority w:val="99"/>
    <w:rsid w:val="00D63FFF"/>
    <w:rPr>
      <w:rFonts w:ascii="Times New Roman" w:eastAsia="宋体" w:hAnsi="Times New Roman" w:cs="Times New Roman"/>
      <w:sz w:val="18"/>
      <w:szCs w:val="18"/>
    </w:rPr>
  </w:style>
  <w:style w:type="character" w:styleId="a5">
    <w:name w:val="Strong"/>
    <w:basedOn w:val="a0"/>
    <w:uiPriority w:val="22"/>
    <w:qFormat/>
    <w:rsid w:val="00D63FFF"/>
    <w:rPr>
      <w:b/>
      <w:bCs/>
    </w:rPr>
  </w:style>
  <w:style w:type="paragraph" w:styleId="a6">
    <w:name w:val="Normal (Web)"/>
    <w:basedOn w:val="a"/>
    <w:uiPriority w:val="99"/>
    <w:semiHidden/>
    <w:unhideWhenUsed/>
    <w:rsid w:val="00D63FFF"/>
    <w:pPr>
      <w:widowControl/>
      <w:spacing w:after="150"/>
      <w:jc w:val="left"/>
    </w:pPr>
    <w:rPr>
      <w:rFonts w:ascii="宋体" w:hAnsi="宋体" w:cs="宋体"/>
      <w:kern w:val="0"/>
      <w:sz w:val="24"/>
    </w:rPr>
  </w:style>
  <w:style w:type="paragraph" w:customStyle="1" w:styleId="jianzhang18">
    <w:name w:val="jianzhang18"/>
    <w:basedOn w:val="a"/>
    <w:rsid w:val="00D63FFF"/>
    <w:pPr>
      <w:widowControl/>
      <w:spacing w:after="75"/>
      <w:jc w:val="left"/>
    </w:pPr>
    <w:rPr>
      <w:rFonts w:ascii="宋体" w:hAnsi="宋体" w:cs="宋体"/>
      <w:b/>
      <w:bCs/>
      <w:color w:val="1AA97B"/>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3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3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3FFF"/>
    <w:rPr>
      <w:rFonts w:ascii="Times New Roman" w:eastAsia="宋体" w:hAnsi="Times New Roman" w:cs="Times New Roman"/>
      <w:sz w:val="18"/>
      <w:szCs w:val="18"/>
    </w:rPr>
  </w:style>
  <w:style w:type="paragraph" w:styleId="a4">
    <w:name w:val="footer"/>
    <w:basedOn w:val="a"/>
    <w:link w:val="Char0"/>
    <w:uiPriority w:val="99"/>
    <w:unhideWhenUsed/>
    <w:rsid w:val="00D63FFF"/>
    <w:pPr>
      <w:tabs>
        <w:tab w:val="center" w:pos="4153"/>
        <w:tab w:val="right" w:pos="8306"/>
      </w:tabs>
      <w:snapToGrid w:val="0"/>
      <w:jc w:val="left"/>
    </w:pPr>
    <w:rPr>
      <w:sz w:val="18"/>
      <w:szCs w:val="18"/>
    </w:rPr>
  </w:style>
  <w:style w:type="character" w:customStyle="1" w:styleId="Char0">
    <w:name w:val="页脚 Char"/>
    <w:basedOn w:val="a0"/>
    <w:link w:val="a4"/>
    <w:uiPriority w:val="99"/>
    <w:rsid w:val="00D63FFF"/>
    <w:rPr>
      <w:rFonts w:ascii="Times New Roman" w:eastAsia="宋体" w:hAnsi="Times New Roman" w:cs="Times New Roman"/>
      <w:sz w:val="18"/>
      <w:szCs w:val="18"/>
    </w:rPr>
  </w:style>
  <w:style w:type="character" w:styleId="a5">
    <w:name w:val="Strong"/>
    <w:basedOn w:val="a0"/>
    <w:uiPriority w:val="22"/>
    <w:qFormat/>
    <w:rsid w:val="00D63FFF"/>
    <w:rPr>
      <w:b/>
      <w:bCs/>
    </w:rPr>
  </w:style>
  <w:style w:type="paragraph" w:styleId="a6">
    <w:name w:val="Normal (Web)"/>
    <w:basedOn w:val="a"/>
    <w:uiPriority w:val="99"/>
    <w:semiHidden/>
    <w:unhideWhenUsed/>
    <w:rsid w:val="00D63FFF"/>
    <w:pPr>
      <w:widowControl/>
      <w:spacing w:after="150"/>
      <w:jc w:val="left"/>
    </w:pPr>
    <w:rPr>
      <w:rFonts w:ascii="宋体" w:hAnsi="宋体" w:cs="宋体"/>
      <w:kern w:val="0"/>
      <w:sz w:val="24"/>
    </w:rPr>
  </w:style>
  <w:style w:type="paragraph" w:customStyle="1" w:styleId="jianzhang18">
    <w:name w:val="jianzhang18"/>
    <w:basedOn w:val="a"/>
    <w:rsid w:val="00D63FFF"/>
    <w:pPr>
      <w:widowControl/>
      <w:spacing w:after="75"/>
      <w:jc w:val="left"/>
    </w:pPr>
    <w:rPr>
      <w:rFonts w:ascii="宋体" w:hAnsi="宋体" w:cs="宋体"/>
      <w:b/>
      <w:bCs/>
      <w:color w:val="1AA97B"/>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47151">
      <w:bodyDiv w:val="1"/>
      <w:marLeft w:val="0"/>
      <w:marRight w:val="0"/>
      <w:marTop w:val="0"/>
      <w:marBottom w:val="0"/>
      <w:divBdr>
        <w:top w:val="none" w:sz="0" w:space="0" w:color="auto"/>
        <w:left w:val="none" w:sz="0" w:space="0" w:color="auto"/>
        <w:bottom w:val="none" w:sz="0" w:space="0" w:color="auto"/>
        <w:right w:val="none" w:sz="0" w:space="0" w:color="auto"/>
      </w:divBdr>
      <w:divsChild>
        <w:div w:id="607473854">
          <w:marLeft w:val="0"/>
          <w:marRight w:val="0"/>
          <w:marTop w:val="0"/>
          <w:marBottom w:val="0"/>
          <w:divBdr>
            <w:top w:val="none" w:sz="0" w:space="0" w:color="auto"/>
            <w:left w:val="none" w:sz="0" w:space="0" w:color="auto"/>
            <w:bottom w:val="none" w:sz="0" w:space="0" w:color="auto"/>
            <w:right w:val="none" w:sz="0" w:space="0" w:color="auto"/>
          </w:divBdr>
          <w:divsChild>
            <w:div w:id="109100451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167</Words>
  <Characters>956</Characters>
  <Application>Microsoft Office Word</Application>
  <DocSecurity>0</DocSecurity>
  <Lines>7</Lines>
  <Paragraphs>2</Paragraphs>
  <ScaleCrop>false</ScaleCrop>
  <Company>Sky123.Org</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2017-12-04T09:01:00Z</dcterms:created>
  <dcterms:modified xsi:type="dcterms:W3CDTF">2017-12-06T02:41:00Z</dcterms:modified>
</cp:coreProperties>
</file>